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5A8" w:rsidRDefault="00B66117" w:rsidP="00CD678D">
      <w:pPr>
        <w:jc w:val="center"/>
        <w:rPr>
          <w:rFonts w:cs="Arial"/>
          <w:b/>
          <w:bCs/>
          <w:i/>
          <w:color w:val="365F91" w:themeColor="accent1" w:themeShade="BF"/>
          <w:sz w:val="28"/>
          <w:szCs w:val="28"/>
        </w:rPr>
      </w:pPr>
      <w:r>
        <w:rPr>
          <w:rFonts w:cs="Arial"/>
          <w:b/>
          <w:bCs/>
          <w:i/>
          <w:noProof/>
          <w:color w:val="365F91" w:themeColor="accent1" w:themeShade="BF"/>
          <w:sz w:val="28"/>
          <w:szCs w:val="28"/>
          <w:lang w:val="fr-FR"/>
        </w:rPr>
        <w:drawing>
          <wp:inline distT="0" distB="0" distL="0" distR="0">
            <wp:extent cx="4667250" cy="483599"/>
            <wp:effectExtent l="19050" t="0" r="0" b="0"/>
            <wp:docPr id="6" name="Image 3" descr="bandeau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ndeau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5707" cy="483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35A8" w:rsidRDefault="00B66117" w:rsidP="00CD678D">
      <w:pPr>
        <w:jc w:val="center"/>
        <w:rPr>
          <w:rFonts w:cs="Arial"/>
          <w:b/>
          <w:bCs/>
          <w:i/>
          <w:color w:val="365F91" w:themeColor="accent1" w:themeShade="BF"/>
          <w:sz w:val="28"/>
          <w:szCs w:val="28"/>
        </w:rPr>
      </w:pPr>
      <w:r>
        <w:rPr>
          <w:rFonts w:cs="Arial"/>
          <w:b/>
          <w:bCs/>
          <w:i/>
          <w:noProof/>
          <w:color w:val="365F91" w:themeColor="accent1" w:themeShade="BF"/>
          <w:sz w:val="28"/>
          <w:szCs w:val="28"/>
          <w:lang w:val="fr-FR"/>
        </w:rPr>
        <w:drawing>
          <wp:inline distT="0" distB="0" distL="0" distR="0">
            <wp:extent cx="4657725" cy="1778404"/>
            <wp:effectExtent l="19050" t="0" r="9525" b="0"/>
            <wp:docPr id="5" name="Image 4" descr="image-ho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-home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6111" cy="1781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35A8" w:rsidRDefault="006035A8" w:rsidP="00CD678D">
      <w:pPr>
        <w:jc w:val="center"/>
        <w:rPr>
          <w:rFonts w:cs="Arial"/>
          <w:b/>
          <w:bCs/>
          <w:i/>
          <w:color w:val="365F91" w:themeColor="accent1" w:themeShade="BF"/>
          <w:sz w:val="28"/>
          <w:szCs w:val="28"/>
        </w:rPr>
      </w:pPr>
    </w:p>
    <w:p w:rsidR="00A0395D" w:rsidRPr="00703F4D" w:rsidRDefault="00416A8E" w:rsidP="00CD678D">
      <w:pPr>
        <w:jc w:val="center"/>
        <w:rPr>
          <w:rFonts w:cs="Arial"/>
          <w:b/>
          <w:bCs/>
          <w:i/>
          <w:color w:val="365F91" w:themeColor="accent1" w:themeShade="BF"/>
          <w:sz w:val="28"/>
          <w:szCs w:val="28"/>
        </w:rPr>
      </w:pPr>
      <w:r w:rsidRPr="00416A8E">
        <w:rPr>
          <w:rFonts w:cs="Arial"/>
          <w:b/>
          <w:bCs/>
          <w:i/>
          <w:color w:val="365F91" w:themeColor="accent1" w:themeShade="BF"/>
          <w:sz w:val="28"/>
          <w:szCs w:val="28"/>
        </w:rPr>
        <w:t>European Project develops a collaborative platform for Law Enforcement Agencies</w:t>
      </w:r>
    </w:p>
    <w:p w:rsidR="0007765D" w:rsidRPr="00A01872" w:rsidRDefault="0007765D" w:rsidP="00CD678D">
      <w:pPr>
        <w:jc w:val="center"/>
        <w:rPr>
          <w:rFonts w:cs="Arial"/>
          <w:bCs/>
          <w:szCs w:val="22"/>
        </w:rPr>
      </w:pPr>
    </w:p>
    <w:p w:rsidR="00195841" w:rsidRPr="006035A8" w:rsidRDefault="00416A8E" w:rsidP="00195841">
      <w:pPr>
        <w:jc w:val="center"/>
        <w:rPr>
          <w:b/>
          <w:bCs/>
          <w:iCs/>
          <w:color w:val="4F81BD" w:themeColor="accent1"/>
        </w:rPr>
      </w:pPr>
      <w:r w:rsidRPr="00416A8E">
        <w:rPr>
          <w:b/>
          <w:bCs/>
          <w:iCs/>
          <w:color w:val="4F81BD" w:themeColor="accent1"/>
        </w:rPr>
        <w:t>CAPER is a 3 year project targeting the creation of a common platform for the prevention of organised crime through sharing, exploitation and analysis of Open and private information sources.</w:t>
      </w:r>
    </w:p>
    <w:p w:rsidR="00195841" w:rsidRPr="00A01872" w:rsidRDefault="00195841" w:rsidP="00145063">
      <w:pPr>
        <w:jc w:val="center"/>
        <w:rPr>
          <w:b/>
          <w:bCs/>
          <w:iCs/>
        </w:rPr>
      </w:pPr>
    </w:p>
    <w:p w:rsidR="00B95EC9" w:rsidRDefault="00D05E9F" w:rsidP="00873807">
      <w:pPr>
        <w:spacing w:line="360" w:lineRule="auto"/>
        <w:rPr>
          <w:sz w:val="20"/>
          <w:szCs w:val="20"/>
        </w:rPr>
      </w:pPr>
      <w:r w:rsidRPr="00A01872">
        <w:rPr>
          <w:b/>
          <w:sz w:val="20"/>
          <w:szCs w:val="20"/>
        </w:rPr>
        <w:t>San Sebastian</w:t>
      </w:r>
      <w:r w:rsidR="00E273F7" w:rsidRPr="00A01872">
        <w:rPr>
          <w:b/>
          <w:sz w:val="20"/>
          <w:szCs w:val="20"/>
        </w:rPr>
        <w:t xml:space="preserve"> - </w:t>
      </w:r>
      <w:r w:rsidRPr="00A01872">
        <w:rPr>
          <w:b/>
          <w:sz w:val="20"/>
          <w:szCs w:val="20"/>
        </w:rPr>
        <w:t>Spain</w:t>
      </w:r>
      <w:r w:rsidR="00E273F7" w:rsidRPr="00A01872">
        <w:rPr>
          <w:b/>
          <w:sz w:val="20"/>
          <w:szCs w:val="20"/>
        </w:rPr>
        <w:t>,</w:t>
      </w:r>
      <w:r w:rsidR="00C01656" w:rsidRPr="00A01872">
        <w:rPr>
          <w:b/>
          <w:sz w:val="20"/>
          <w:szCs w:val="20"/>
        </w:rPr>
        <w:t xml:space="preserve"> </w:t>
      </w:r>
      <w:r w:rsidRPr="00A01872">
        <w:rPr>
          <w:b/>
          <w:sz w:val="20"/>
          <w:szCs w:val="20"/>
        </w:rPr>
        <w:t>July</w:t>
      </w:r>
      <w:r w:rsidR="00C01656" w:rsidRPr="00A01872">
        <w:rPr>
          <w:b/>
          <w:sz w:val="20"/>
          <w:szCs w:val="20"/>
        </w:rPr>
        <w:t xml:space="preserve"> 20</w:t>
      </w:r>
      <w:r w:rsidRPr="00A01872">
        <w:rPr>
          <w:b/>
          <w:sz w:val="20"/>
          <w:szCs w:val="20"/>
        </w:rPr>
        <w:t>11</w:t>
      </w:r>
      <w:r w:rsidR="00C01656" w:rsidRPr="00A01872">
        <w:rPr>
          <w:sz w:val="20"/>
          <w:szCs w:val="20"/>
        </w:rPr>
        <w:t xml:space="preserve"> </w:t>
      </w:r>
      <w:r w:rsidR="00485F72" w:rsidRPr="00A01872">
        <w:rPr>
          <w:sz w:val="20"/>
          <w:szCs w:val="20"/>
        </w:rPr>
        <w:t>–</w:t>
      </w:r>
      <w:r w:rsidR="00C01656" w:rsidRPr="00A01872">
        <w:rPr>
          <w:sz w:val="20"/>
          <w:szCs w:val="20"/>
        </w:rPr>
        <w:t xml:space="preserve"> </w:t>
      </w:r>
      <w:r w:rsidR="00465EC2" w:rsidRPr="00A01872">
        <w:rPr>
          <w:sz w:val="20"/>
          <w:szCs w:val="20"/>
        </w:rPr>
        <w:t xml:space="preserve">The launch of CAPER (Collaborative information, Acquisition, Processing and Reporting for the prevention of organised crime) will be </w:t>
      </w:r>
      <w:r w:rsidR="00E12496" w:rsidRPr="00A01872">
        <w:rPr>
          <w:sz w:val="20"/>
          <w:szCs w:val="20"/>
        </w:rPr>
        <w:t>organised</w:t>
      </w:r>
      <w:r w:rsidR="00465EC2" w:rsidRPr="00A01872">
        <w:rPr>
          <w:sz w:val="20"/>
          <w:szCs w:val="20"/>
        </w:rPr>
        <w:t xml:space="preserve"> </w:t>
      </w:r>
      <w:r w:rsidR="002E7BAE" w:rsidRPr="00A01872">
        <w:rPr>
          <w:sz w:val="20"/>
          <w:szCs w:val="20"/>
        </w:rPr>
        <w:t xml:space="preserve">by </w:t>
      </w:r>
      <w:r w:rsidR="007B2DA0">
        <w:rPr>
          <w:sz w:val="20"/>
          <w:szCs w:val="20"/>
        </w:rPr>
        <w:t>S21</w:t>
      </w:r>
      <w:r w:rsidR="002C0119">
        <w:rPr>
          <w:sz w:val="20"/>
          <w:szCs w:val="20"/>
        </w:rPr>
        <w:t>s</w:t>
      </w:r>
      <w:r w:rsidR="007B2DA0">
        <w:rPr>
          <w:sz w:val="20"/>
          <w:szCs w:val="20"/>
        </w:rPr>
        <w:t xml:space="preserve">ec and hosted by </w:t>
      </w:r>
      <w:r w:rsidR="00BF3FF3" w:rsidRPr="00A01872">
        <w:rPr>
          <w:sz w:val="20"/>
          <w:szCs w:val="20"/>
        </w:rPr>
        <w:t>the Vicomtech</w:t>
      </w:r>
      <w:r w:rsidR="007B2DA0">
        <w:rPr>
          <w:sz w:val="20"/>
          <w:szCs w:val="20"/>
        </w:rPr>
        <w:t>-IK4 Technology Centre</w:t>
      </w:r>
      <w:r w:rsidR="00E12496" w:rsidRPr="00A01872">
        <w:rPr>
          <w:sz w:val="20"/>
          <w:szCs w:val="20"/>
        </w:rPr>
        <w:t xml:space="preserve">. </w:t>
      </w:r>
      <w:r w:rsidR="00B95EC9" w:rsidRPr="00A01872">
        <w:rPr>
          <w:sz w:val="20"/>
          <w:szCs w:val="20"/>
        </w:rPr>
        <w:t xml:space="preserve">The three-year </w:t>
      </w:r>
      <w:r w:rsidR="00E12496" w:rsidRPr="00A01872">
        <w:rPr>
          <w:sz w:val="20"/>
          <w:szCs w:val="20"/>
        </w:rPr>
        <w:t>programme will be led by the Spanish high tech</w:t>
      </w:r>
      <w:r w:rsidR="00B95EC9" w:rsidRPr="00A01872">
        <w:rPr>
          <w:sz w:val="20"/>
          <w:szCs w:val="20"/>
        </w:rPr>
        <w:t xml:space="preserve"> </w:t>
      </w:r>
      <w:r w:rsidR="00E12496" w:rsidRPr="00A01872">
        <w:rPr>
          <w:sz w:val="20"/>
          <w:szCs w:val="20"/>
        </w:rPr>
        <w:t>SME: S21</w:t>
      </w:r>
      <w:r w:rsidR="002C0119">
        <w:rPr>
          <w:sz w:val="20"/>
          <w:szCs w:val="20"/>
        </w:rPr>
        <w:t>s</w:t>
      </w:r>
      <w:r w:rsidR="00E12496" w:rsidRPr="00A01872">
        <w:rPr>
          <w:sz w:val="20"/>
          <w:szCs w:val="20"/>
        </w:rPr>
        <w:t xml:space="preserve">ec. </w:t>
      </w:r>
      <w:r w:rsidR="00BF3FF3" w:rsidRPr="00A01872">
        <w:rPr>
          <w:sz w:val="20"/>
          <w:szCs w:val="20"/>
        </w:rPr>
        <w:t>The 7.1</w:t>
      </w:r>
      <w:r w:rsidR="00B95EC9" w:rsidRPr="00A01872">
        <w:rPr>
          <w:sz w:val="20"/>
          <w:szCs w:val="20"/>
        </w:rPr>
        <w:t xml:space="preserve"> million </w:t>
      </w:r>
      <w:r w:rsidR="007B2DA0">
        <w:rPr>
          <w:sz w:val="20"/>
          <w:szCs w:val="20"/>
        </w:rPr>
        <w:t xml:space="preserve">EUR </w:t>
      </w:r>
      <w:r w:rsidR="00E12496" w:rsidRPr="00A01872">
        <w:rPr>
          <w:sz w:val="20"/>
          <w:szCs w:val="20"/>
        </w:rPr>
        <w:t>project will be supported by the European Commission under the</w:t>
      </w:r>
      <w:r w:rsidR="007019D6" w:rsidRPr="00A01872">
        <w:rPr>
          <w:sz w:val="20"/>
          <w:szCs w:val="20"/>
        </w:rPr>
        <w:t xml:space="preserve"> </w:t>
      </w:r>
      <w:r w:rsidR="00E12496" w:rsidRPr="00A01872">
        <w:rPr>
          <w:sz w:val="20"/>
          <w:szCs w:val="20"/>
        </w:rPr>
        <w:t>Framework</w:t>
      </w:r>
      <w:r w:rsidR="007019D6" w:rsidRPr="00A01872">
        <w:rPr>
          <w:sz w:val="20"/>
          <w:szCs w:val="20"/>
        </w:rPr>
        <w:t xml:space="preserve"> Programme 7 </w:t>
      </w:r>
      <w:r w:rsidR="002E7BAE" w:rsidRPr="00A01872">
        <w:rPr>
          <w:sz w:val="20"/>
          <w:szCs w:val="20"/>
        </w:rPr>
        <w:t xml:space="preserve">SECURITY </w:t>
      </w:r>
      <w:r w:rsidR="00E12496" w:rsidRPr="00A01872">
        <w:rPr>
          <w:sz w:val="20"/>
          <w:szCs w:val="20"/>
        </w:rPr>
        <w:t>with a grant of 5.5 million</w:t>
      </w:r>
      <w:r w:rsidR="007B2DA0">
        <w:rPr>
          <w:sz w:val="20"/>
          <w:szCs w:val="20"/>
        </w:rPr>
        <w:t xml:space="preserve"> EUR</w:t>
      </w:r>
      <w:r w:rsidR="00E12496" w:rsidRPr="00A01872">
        <w:rPr>
          <w:sz w:val="20"/>
          <w:szCs w:val="20"/>
        </w:rPr>
        <w:t>.</w:t>
      </w:r>
    </w:p>
    <w:p w:rsidR="00933942" w:rsidRPr="00A01872" w:rsidRDefault="00E12496" w:rsidP="001B120F">
      <w:pPr>
        <w:spacing w:line="360" w:lineRule="auto"/>
        <w:rPr>
          <w:sz w:val="20"/>
          <w:szCs w:val="20"/>
        </w:rPr>
      </w:pPr>
      <w:r w:rsidRPr="00A01872">
        <w:rPr>
          <w:sz w:val="20"/>
          <w:szCs w:val="20"/>
        </w:rPr>
        <w:t>CAPER</w:t>
      </w:r>
      <w:r w:rsidR="00485F72" w:rsidRPr="00A01872">
        <w:rPr>
          <w:sz w:val="20"/>
          <w:szCs w:val="20"/>
        </w:rPr>
        <w:t xml:space="preserve"> is setting out to develop</w:t>
      </w:r>
      <w:r w:rsidR="00CA797E" w:rsidRPr="00A01872">
        <w:rPr>
          <w:sz w:val="20"/>
          <w:szCs w:val="20"/>
        </w:rPr>
        <w:t xml:space="preserve"> a collaborative platform </w:t>
      </w:r>
      <w:r w:rsidR="007B2DA0">
        <w:rPr>
          <w:sz w:val="20"/>
          <w:szCs w:val="20"/>
        </w:rPr>
        <w:t>for information sharing amongst Law Enforcement Agencies with</w:t>
      </w:r>
      <w:r w:rsidR="00CA797E" w:rsidRPr="00A01872">
        <w:rPr>
          <w:sz w:val="20"/>
          <w:szCs w:val="20"/>
        </w:rPr>
        <w:t xml:space="preserve"> support </w:t>
      </w:r>
      <w:r w:rsidR="007B2DA0">
        <w:rPr>
          <w:sz w:val="20"/>
          <w:szCs w:val="20"/>
        </w:rPr>
        <w:t>for</w:t>
      </w:r>
      <w:r w:rsidR="00CA797E" w:rsidRPr="00A01872">
        <w:rPr>
          <w:sz w:val="20"/>
          <w:szCs w:val="20"/>
        </w:rPr>
        <w:t xml:space="preserve"> multilingual and audiovisual content</w:t>
      </w:r>
      <w:r w:rsidR="007B2DA0">
        <w:rPr>
          <w:sz w:val="20"/>
          <w:szCs w:val="20"/>
        </w:rPr>
        <w:t xml:space="preserve"> </w:t>
      </w:r>
      <w:r w:rsidR="00906078">
        <w:rPr>
          <w:sz w:val="20"/>
          <w:szCs w:val="20"/>
        </w:rPr>
        <w:t>analysis supported</w:t>
      </w:r>
      <w:r w:rsidR="007B2DA0">
        <w:rPr>
          <w:sz w:val="20"/>
          <w:szCs w:val="20"/>
        </w:rPr>
        <w:t xml:space="preserve"> by</w:t>
      </w:r>
      <w:r w:rsidR="00CA797E" w:rsidRPr="00A01872">
        <w:rPr>
          <w:sz w:val="20"/>
          <w:szCs w:val="20"/>
        </w:rPr>
        <w:t xml:space="preserve"> Visual Analytics and Data Mining Technologies. </w:t>
      </w:r>
      <w:r w:rsidR="00C75215" w:rsidRPr="00A01872">
        <w:rPr>
          <w:sz w:val="20"/>
          <w:szCs w:val="20"/>
        </w:rPr>
        <w:t>Based on the needs of the participating L</w:t>
      </w:r>
      <w:r w:rsidR="000B513D" w:rsidRPr="00A01872">
        <w:rPr>
          <w:sz w:val="20"/>
          <w:szCs w:val="20"/>
        </w:rPr>
        <w:t>aw</w:t>
      </w:r>
      <w:r w:rsidR="00C75215" w:rsidRPr="00A01872">
        <w:rPr>
          <w:sz w:val="20"/>
          <w:szCs w:val="20"/>
        </w:rPr>
        <w:t xml:space="preserve"> Enforcement Agencies</w:t>
      </w:r>
      <w:r w:rsidR="00124D9E" w:rsidRPr="00A01872">
        <w:rPr>
          <w:sz w:val="20"/>
          <w:szCs w:val="20"/>
        </w:rPr>
        <w:t xml:space="preserve"> (LEAs)</w:t>
      </w:r>
      <w:r w:rsidR="00C75215" w:rsidRPr="00A01872">
        <w:rPr>
          <w:sz w:val="20"/>
          <w:szCs w:val="20"/>
        </w:rPr>
        <w:t>, t</w:t>
      </w:r>
      <w:r w:rsidR="00E1460A" w:rsidRPr="00A01872">
        <w:rPr>
          <w:sz w:val="20"/>
          <w:szCs w:val="20"/>
        </w:rPr>
        <w:t xml:space="preserve">he integration of database technologies, applications workflow and Semantic Modelling of processes </w:t>
      </w:r>
      <w:r w:rsidR="00701EE6" w:rsidRPr="00A01872">
        <w:rPr>
          <w:sz w:val="20"/>
          <w:szCs w:val="20"/>
        </w:rPr>
        <w:t xml:space="preserve">complying with existing legal </w:t>
      </w:r>
      <w:r w:rsidR="007B2DA0">
        <w:rPr>
          <w:sz w:val="20"/>
          <w:szCs w:val="20"/>
        </w:rPr>
        <w:t xml:space="preserve">and operational frameworks, and within ethical and privacy limits, </w:t>
      </w:r>
      <w:r w:rsidR="00701EE6" w:rsidRPr="00A01872">
        <w:rPr>
          <w:sz w:val="20"/>
          <w:szCs w:val="20"/>
        </w:rPr>
        <w:t xml:space="preserve"> will allow </w:t>
      </w:r>
      <w:r w:rsidR="00C75215" w:rsidRPr="00A01872">
        <w:rPr>
          <w:sz w:val="20"/>
          <w:szCs w:val="20"/>
        </w:rPr>
        <w:t>t</w:t>
      </w:r>
      <w:r w:rsidR="00124D9E" w:rsidRPr="00A01872">
        <w:rPr>
          <w:sz w:val="20"/>
          <w:szCs w:val="20"/>
        </w:rPr>
        <w:t>he LEAs</w:t>
      </w:r>
      <w:r w:rsidR="00C75215" w:rsidRPr="00A01872">
        <w:rPr>
          <w:sz w:val="20"/>
          <w:szCs w:val="20"/>
        </w:rPr>
        <w:t xml:space="preserve"> to </w:t>
      </w:r>
      <w:r w:rsidR="00701EE6" w:rsidRPr="00A01872">
        <w:rPr>
          <w:sz w:val="20"/>
          <w:szCs w:val="20"/>
        </w:rPr>
        <w:t>share informational, investigative and experiential knowledge</w:t>
      </w:r>
      <w:r w:rsidR="0007765D" w:rsidRPr="00A01872">
        <w:rPr>
          <w:sz w:val="20"/>
          <w:szCs w:val="20"/>
        </w:rPr>
        <w:t xml:space="preserve"> to help their fight against organised crime.</w:t>
      </w:r>
    </w:p>
    <w:p w:rsidR="00B170DC" w:rsidRPr="00A01872" w:rsidRDefault="008C6A09" w:rsidP="00B170DC">
      <w:pPr>
        <w:spacing w:line="360" w:lineRule="auto"/>
        <w:jc w:val="center"/>
        <w:rPr>
          <w:sz w:val="20"/>
          <w:szCs w:val="20"/>
        </w:rPr>
      </w:pPr>
      <w:r>
        <w:rPr>
          <w:rFonts w:cs="Arial"/>
          <w:noProof/>
          <w:sz w:val="20"/>
          <w:lang w:val="fr-FR"/>
        </w:rPr>
        <w:drawing>
          <wp:inline distT="0" distB="0" distL="0" distR="0">
            <wp:extent cx="4124325" cy="2667000"/>
            <wp:effectExtent l="19050" t="0" r="0" b="0"/>
            <wp:docPr id="1" name="Object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929687" cy="6442075"/>
                      <a:chOff x="80963" y="214313"/>
                      <a:chExt cx="8929687" cy="6442075"/>
                    </a:xfrm>
                  </a:grpSpPr>
                  <a:sp>
                    <a:nvSpPr>
                      <a:cNvPr id="4" name="Ovale 3"/>
                      <a:cNvSpPr/>
                    </a:nvSpPr>
                    <a:spPr>
                      <a:xfrm>
                        <a:off x="7510463" y="2714625"/>
                        <a:ext cx="1500187" cy="1428750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it-IT" sz="1400" dirty="0"/>
                            <a:t>WP9</a:t>
                          </a:r>
                        </a:p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it-IT" sz="1400" dirty="0"/>
                            <a:t>Dissemin. Exploit.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5" name="Ovale 4"/>
                      <a:cNvSpPr/>
                    </a:nvSpPr>
                    <a:spPr>
                      <a:xfrm>
                        <a:off x="3763963" y="2714625"/>
                        <a:ext cx="1500187" cy="1428750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it-IT" sz="1400"/>
                            <a:t>WP8</a:t>
                          </a:r>
                        </a:p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it-IT" sz="1400"/>
                            <a:t>System Integration</a:t>
                          </a:r>
                          <a:endParaRPr lang="en-US" sz="1400"/>
                        </a:p>
                      </a:txBody>
                      <a:useSpRect/>
                    </a:txSp>
                    <a:style>
                      <a:lnRef idx="1">
                        <a:schemeClr val="accent1"/>
                      </a:lnRef>
                      <a:fillRef idx="2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6" name="Ovale 5"/>
                      <a:cNvSpPr/>
                    </a:nvSpPr>
                    <a:spPr>
                      <a:xfrm>
                        <a:off x="1938338" y="4640263"/>
                        <a:ext cx="1500187" cy="1428750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it-IT" sz="1400"/>
                            <a:t>WP4</a:t>
                          </a:r>
                        </a:p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it-IT" sz="1400"/>
                            <a:t>Data Acquisition</a:t>
                          </a:r>
                          <a:endParaRPr lang="en-US" sz="1400"/>
                        </a:p>
                      </a:txBody>
                      <a:useSpRect/>
                    </a:txSp>
                    <a:style>
                      <a:lnRef idx="1">
                        <a:schemeClr val="accent2"/>
                      </a:lnRef>
                      <a:fillRef idx="2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7" name="Ovale 6"/>
                      <a:cNvSpPr/>
                    </a:nvSpPr>
                    <a:spPr>
                      <a:xfrm>
                        <a:off x="5581650" y="4640263"/>
                        <a:ext cx="1500188" cy="1428750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it-IT" sz="1400"/>
                            <a:t>WP6</a:t>
                          </a:r>
                        </a:p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it-IT" sz="1400"/>
                            <a:t>Visual Analytics</a:t>
                          </a:r>
                          <a:endParaRPr lang="en-US" sz="1400"/>
                        </a:p>
                      </a:txBody>
                      <a:useSpRect/>
                    </a:txSp>
                    <a:style>
                      <a:lnRef idx="1">
                        <a:schemeClr val="accent2"/>
                      </a:lnRef>
                      <a:fillRef idx="2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8" name="Ovale 7"/>
                      <a:cNvSpPr/>
                    </a:nvSpPr>
                    <a:spPr>
                      <a:xfrm>
                        <a:off x="3759200" y="4640263"/>
                        <a:ext cx="1500188" cy="1428750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it-IT" sz="1400" dirty="0" smtClean="0"/>
                            <a:t>WP5</a:t>
                          </a:r>
                          <a:endParaRPr lang="it-IT" sz="1400" dirty="0"/>
                        </a:p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it-IT" sz="1400" dirty="0"/>
                            <a:t>Information Analysis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accent2"/>
                      </a:lnRef>
                      <a:fillRef idx="2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9" name="Ovale 8"/>
                      <a:cNvSpPr/>
                    </a:nvSpPr>
                    <a:spPr>
                      <a:xfrm>
                        <a:off x="5622925" y="782638"/>
                        <a:ext cx="1500188" cy="1428750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it-IT" sz="1400" dirty="0" smtClean="0"/>
                            <a:t>WP7</a:t>
                          </a:r>
                          <a:endParaRPr lang="it-IT" sz="1400" dirty="0"/>
                        </a:p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it-IT" sz="1400" dirty="0"/>
                            <a:t>Legal  Norms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accent3"/>
                      </a:lnRef>
                      <a:fillRef idx="2">
                        <a:schemeClr val="accent3"/>
                      </a:fillRef>
                      <a:effectRef idx="1">
                        <a:schemeClr val="accent3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0" name="Ovale 9"/>
                      <a:cNvSpPr/>
                    </a:nvSpPr>
                    <a:spPr>
                      <a:xfrm>
                        <a:off x="3765550" y="782638"/>
                        <a:ext cx="1500188" cy="1428750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it-IT" sz="1400" dirty="0"/>
                            <a:t>WP3</a:t>
                          </a:r>
                        </a:p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it-IT" sz="1400" dirty="0" smtClean="0"/>
                            <a:t>Interoper.</a:t>
                          </a:r>
                          <a:endParaRPr lang="en-US" sz="1400" dirty="0"/>
                        </a:p>
                      </a:txBody>
                      <a:useSpRect/>
                    </a:txSp>
                    <a:style>
                      <a:lnRef idx="1">
                        <a:schemeClr val="accent3"/>
                      </a:lnRef>
                      <a:fillRef idx="2">
                        <a:schemeClr val="accent3"/>
                      </a:fillRef>
                      <a:effectRef idx="1">
                        <a:schemeClr val="accent3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1" name="Ovale 10"/>
                      <a:cNvSpPr/>
                    </a:nvSpPr>
                    <a:spPr>
                      <a:xfrm>
                        <a:off x="1908175" y="782638"/>
                        <a:ext cx="1500188" cy="1428750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it-IT" sz="1400"/>
                            <a:t>WP2</a:t>
                          </a:r>
                        </a:p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it-IT" sz="1400"/>
                            <a:t>Architect.</a:t>
                          </a:r>
                          <a:endParaRPr lang="en-US" sz="1400"/>
                        </a:p>
                      </a:txBody>
                      <a:useSpRect/>
                    </a:txSp>
                    <a:style>
                      <a:lnRef idx="1">
                        <a:schemeClr val="accent3"/>
                      </a:lnRef>
                      <a:fillRef idx="2">
                        <a:schemeClr val="accent3"/>
                      </a:fillRef>
                      <a:effectRef idx="1">
                        <a:schemeClr val="accent3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13" name="Connettore 2 12"/>
                      <a:cNvCxnSpPr>
                        <a:stCxn id="6" idx="0"/>
                        <a:endCxn id="5" idx="4"/>
                      </a:cNvCxnSpPr>
                    </a:nvCxnSpPr>
                    <a:spPr>
                      <a:xfrm rot="5400000" flipH="1" flipV="1">
                        <a:off x="3352800" y="3478213"/>
                        <a:ext cx="496888" cy="1827212"/>
                      </a:xfrm>
                      <a:prstGeom prst="straightConnector1">
                        <a:avLst/>
                      </a:prstGeom>
                      <a:ln w="38100"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5" name="Connettore 2 14"/>
                      <a:cNvCxnSpPr>
                        <a:stCxn id="8" idx="0"/>
                        <a:endCxn id="5" idx="4"/>
                      </a:cNvCxnSpPr>
                    </a:nvCxnSpPr>
                    <a:spPr>
                      <a:xfrm rot="5400000" flipH="1" flipV="1">
                        <a:off x="4264025" y="4389438"/>
                        <a:ext cx="496888" cy="4762"/>
                      </a:xfrm>
                      <a:prstGeom prst="straightConnector1">
                        <a:avLst/>
                      </a:prstGeom>
                      <a:ln w="38100"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17" name="Connettore 2 16"/>
                      <a:cNvCxnSpPr>
                        <a:stCxn id="7" idx="0"/>
                        <a:endCxn id="5" idx="4"/>
                      </a:cNvCxnSpPr>
                    </a:nvCxnSpPr>
                    <a:spPr>
                      <a:xfrm rot="16200000" flipV="1">
                        <a:off x="5174456" y="3483769"/>
                        <a:ext cx="496888" cy="1816100"/>
                      </a:xfrm>
                      <a:prstGeom prst="straightConnector1">
                        <a:avLst/>
                      </a:prstGeom>
                      <a:ln w="38100"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2" name="Ovale 21"/>
                      <a:cNvSpPr/>
                    </a:nvSpPr>
                    <a:spPr>
                      <a:xfrm>
                        <a:off x="80963" y="2714625"/>
                        <a:ext cx="1500187" cy="1428750"/>
                      </a:xfrm>
                      <a:prstGeom prst="ellipse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it-IT" sz="1400"/>
                            <a:t>WP1</a:t>
                          </a:r>
                        </a:p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it-IT" sz="1400"/>
                            <a:t>Managem.</a:t>
                          </a:r>
                          <a:endParaRPr lang="en-US" sz="140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cxnSp>
                    <a:nvCxnSpPr>
                      <a:cNvPr id="30" name="Connettore 2 29"/>
                      <a:cNvCxnSpPr>
                        <a:stCxn id="11" idx="4"/>
                        <a:endCxn id="5" idx="0"/>
                      </a:cNvCxnSpPr>
                    </a:nvCxnSpPr>
                    <a:spPr>
                      <a:xfrm rot="16200000" flipH="1">
                        <a:off x="3334544" y="1534319"/>
                        <a:ext cx="503237" cy="1857375"/>
                      </a:xfrm>
                      <a:prstGeom prst="straightConnector1">
                        <a:avLst/>
                      </a:prstGeom>
                      <a:ln w="38100"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2" name="Connettore 2 31"/>
                      <a:cNvCxnSpPr>
                        <a:stCxn id="10" idx="4"/>
                        <a:endCxn id="5" idx="0"/>
                      </a:cNvCxnSpPr>
                    </a:nvCxnSpPr>
                    <a:spPr>
                      <a:xfrm rot="5400000">
                        <a:off x="4263231" y="2463007"/>
                        <a:ext cx="503237" cy="0"/>
                      </a:xfrm>
                      <a:prstGeom prst="straightConnector1">
                        <a:avLst/>
                      </a:prstGeom>
                      <a:ln w="38100"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34" name="Connettore 2 33"/>
                      <a:cNvCxnSpPr>
                        <a:stCxn id="9" idx="4"/>
                        <a:endCxn id="5" idx="0"/>
                      </a:cNvCxnSpPr>
                    </a:nvCxnSpPr>
                    <a:spPr>
                      <a:xfrm rot="5400000">
                        <a:off x="5191919" y="1534319"/>
                        <a:ext cx="503237" cy="1857375"/>
                      </a:xfrm>
                      <a:prstGeom prst="straightConnector1">
                        <a:avLst/>
                      </a:prstGeom>
                      <a:ln w="38100">
                        <a:tailEnd type="arrow"/>
                      </a:ln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2065" name="CasellaDiTesto 43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500438" y="6286500"/>
                        <a:ext cx="2786062" cy="36988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it-IT" b="1">
                              <a:latin typeface="Calibri" pitchFamily="34" charset="0"/>
                            </a:rPr>
                            <a:t>Research &amp; Development</a:t>
                          </a:r>
                          <a:endParaRPr lang="en-US" b="1">
                            <a:latin typeface="Calibri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066" name="CasellaDiTesto 44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3286117" y="214313"/>
                        <a:ext cx="2571768" cy="36988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square"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it-IT" b="1" dirty="0">
                              <a:latin typeface="Calibri" pitchFamily="34" charset="0"/>
                            </a:rPr>
                            <a:t>Analysis &amp; Design</a:t>
                          </a:r>
                          <a:endParaRPr lang="en-US" b="1" dirty="0">
                            <a:latin typeface="Calibri" pitchFamily="34" charset="0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46" name="Rettangolo arrotondato 45"/>
                      <a:cNvSpPr/>
                    </a:nvSpPr>
                    <a:spPr>
                      <a:xfrm>
                        <a:off x="1500188" y="571500"/>
                        <a:ext cx="6000750" cy="1857375"/>
                      </a:xfrm>
                      <a:prstGeom prst="roundRect">
                        <a:avLst/>
                      </a:prstGeom>
                      <a:noFill/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7" name="Rettangolo arrotondato 46"/>
                      <a:cNvSpPr/>
                    </a:nvSpPr>
                    <a:spPr>
                      <a:xfrm>
                        <a:off x="1500188" y="4429125"/>
                        <a:ext cx="6000750" cy="1857375"/>
                      </a:xfrm>
                      <a:prstGeom prst="roundRect">
                        <a:avLst/>
                      </a:prstGeom>
                      <a:noFill/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8" name="Freccia in giù 47"/>
                      <a:cNvSpPr/>
                    </a:nvSpPr>
                    <a:spPr>
                      <a:xfrm rot="13106016">
                        <a:off x="1314450" y="2400300"/>
                        <a:ext cx="285750" cy="423863"/>
                      </a:xfrm>
                      <a:prstGeom prst="downArrow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accent4"/>
                      </a:lnRef>
                      <a:fillRef idx="2">
                        <a:schemeClr val="accent4"/>
                      </a:fillRef>
                      <a:effectRef idx="1">
                        <a:schemeClr val="accent4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49" name="Freccia in giù 48"/>
                      <a:cNvSpPr/>
                    </a:nvSpPr>
                    <a:spPr>
                      <a:xfrm rot="16200000">
                        <a:off x="1857375" y="3214688"/>
                        <a:ext cx="285750" cy="571500"/>
                      </a:xfrm>
                      <a:prstGeom prst="downArrow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accent4"/>
                      </a:lnRef>
                      <a:fillRef idx="2">
                        <a:schemeClr val="accent4"/>
                      </a:fillRef>
                      <a:effectRef idx="1">
                        <a:schemeClr val="accent4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51" name="Freccia in giù 50"/>
                      <a:cNvSpPr/>
                    </a:nvSpPr>
                    <a:spPr>
                      <a:xfrm rot="19464705">
                        <a:off x="1247775" y="4113213"/>
                        <a:ext cx="285750" cy="423862"/>
                      </a:xfrm>
                      <a:prstGeom prst="downArrow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accent4"/>
                      </a:lnRef>
                      <a:fillRef idx="2">
                        <a:schemeClr val="accent4"/>
                      </a:fillRef>
                      <a:effectRef idx="1">
                        <a:schemeClr val="accent4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52" name="Freccia in giù 51"/>
                      <a:cNvSpPr/>
                    </a:nvSpPr>
                    <a:spPr>
                      <a:xfrm rot="19107659">
                        <a:off x="7462838" y="2398713"/>
                        <a:ext cx="285750" cy="423862"/>
                      </a:xfrm>
                      <a:prstGeom prst="downArrow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accent4"/>
                      </a:lnRef>
                      <a:fillRef idx="2">
                        <a:schemeClr val="accent4"/>
                      </a:fillRef>
                      <a:effectRef idx="1">
                        <a:schemeClr val="accent4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54" name="Freccia in giù 53"/>
                      <a:cNvSpPr/>
                    </a:nvSpPr>
                    <a:spPr>
                      <a:xfrm rot="13354305">
                        <a:off x="7535863" y="4041775"/>
                        <a:ext cx="285750" cy="422275"/>
                      </a:xfrm>
                      <a:prstGeom prst="downArrow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accent4"/>
                      </a:lnRef>
                      <a:fillRef idx="2">
                        <a:schemeClr val="accent4"/>
                      </a:fillRef>
                      <a:effectRef idx="1">
                        <a:schemeClr val="accent4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55" name="Freccia in giù 54"/>
                      <a:cNvSpPr/>
                    </a:nvSpPr>
                    <a:spPr>
                      <a:xfrm rot="16200000">
                        <a:off x="3460750" y="5214938"/>
                        <a:ext cx="285750" cy="285750"/>
                      </a:xfrm>
                      <a:prstGeom prst="downArrow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accent4"/>
                      </a:lnRef>
                      <a:fillRef idx="2">
                        <a:schemeClr val="accent4"/>
                      </a:fillRef>
                      <a:effectRef idx="1">
                        <a:schemeClr val="accent4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56" name="Freccia in giù 55"/>
                      <a:cNvSpPr/>
                    </a:nvSpPr>
                    <a:spPr>
                      <a:xfrm rot="16200000">
                        <a:off x="5286375" y="5214938"/>
                        <a:ext cx="285750" cy="285750"/>
                      </a:xfrm>
                      <a:prstGeom prst="downArrow">
                        <a:avLst/>
                      </a:prstGeom>
                    </a:spPr>
                    <a:txSp>
                      <a:txBody>
                        <a:bodyPr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endParaRPr lang="en-US"/>
                        </a:p>
                      </a:txBody>
                      <a:useSpRect/>
                    </a:txSp>
                    <a:style>
                      <a:lnRef idx="1">
                        <a:schemeClr val="accent4"/>
                      </a:lnRef>
                      <a:fillRef idx="2">
                        <a:schemeClr val="accent4"/>
                      </a:fillRef>
                      <a:effectRef idx="1">
                        <a:schemeClr val="accent4"/>
                      </a:effectRef>
                      <a:fontRef idx="minor">
                        <a:schemeClr val="dk1"/>
                      </a:fontRef>
                    </a:style>
                  </a:sp>
                </lc:lockedCanvas>
              </a:graphicData>
            </a:graphic>
          </wp:inline>
        </w:drawing>
      </w:r>
    </w:p>
    <w:p w:rsidR="00A36361" w:rsidRPr="00A01872" w:rsidRDefault="00A36361" w:rsidP="001B120F">
      <w:pPr>
        <w:spacing w:line="360" w:lineRule="auto"/>
        <w:rPr>
          <w:sz w:val="20"/>
          <w:szCs w:val="20"/>
        </w:rPr>
      </w:pPr>
      <w:r w:rsidRPr="00A01872">
        <w:rPr>
          <w:sz w:val="20"/>
          <w:szCs w:val="20"/>
        </w:rPr>
        <w:lastRenderedPageBreak/>
        <w:t xml:space="preserve">CAPER will combine the acquisition of information from the internet, mass media and existing LEA information systems with a workflow and management application to </w:t>
      </w:r>
      <w:r w:rsidR="00DE35C5" w:rsidRPr="00A01872">
        <w:rPr>
          <w:sz w:val="20"/>
          <w:szCs w:val="20"/>
        </w:rPr>
        <w:t xml:space="preserve">boost </w:t>
      </w:r>
      <w:r w:rsidRPr="00A01872">
        <w:rPr>
          <w:sz w:val="20"/>
          <w:szCs w:val="20"/>
        </w:rPr>
        <w:t>inter</w:t>
      </w:r>
      <w:r w:rsidR="007B2DA0">
        <w:rPr>
          <w:sz w:val="20"/>
          <w:szCs w:val="20"/>
        </w:rPr>
        <w:t>-</w:t>
      </w:r>
      <w:r w:rsidRPr="00A01872">
        <w:rPr>
          <w:sz w:val="20"/>
          <w:szCs w:val="20"/>
        </w:rPr>
        <w:t>agency and transnational co</w:t>
      </w:r>
      <w:r w:rsidR="007B2DA0">
        <w:rPr>
          <w:sz w:val="20"/>
          <w:szCs w:val="20"/>
        </w:rPr>
        <w:t>operation</w:t>
      </w:r>
      <w:r w:rsidRPr="00A01872">
        <w:rPr>
          <w:sz w:val="20"/>
          <w:szCs w:val="20"/>
        </w:rPr>
        <w:t>.</w:t>
      </w:r>
      <w:r w:rsidR="00543A7B" w:rsidRPr="00A01872">
        <w:rPr>
          <w:sz w:val="20"/>
          <w:szCs w:val="20"/>
        </w:rPr>
        <w:t xml:space="preserve"> The project will be conducted under strict compliance of the European instruments protecting Freedom, Security and Justice of the Hague Programme (priorities 7&amp;8). </w:t>
      </w:r>
    </w:p>
    <w:p w:rsidR="00A36361" w:rsidRPr="00A01872" w:rsidRDefault="00A36361" w:rsidP="001B120F">
      <w:pPr>
        <w:spacing w:line="360" w:lineRule="auto"/>
        <w:rPr>
          <w:sz w:val="20"/>
          <w:szCs w:val="20"/>
        </w:rPr>
      </w:pPr>
    </w:p>
    <w:p w:rsidR="008E7A61" w:rsidRPr="006035A8" w:rsidRDefault="00416A8E" w:rsidP="001B120F">
      <w:pPr>
        <w:spacing w:line="360" w:lineRule="auto"/>
        <w:rPr>
          <w:b/>
          <w:color w:val="4F81BD" w:themeColor="accent1"/>
          <w:sz w:val="20"/>
          <w:szCs w:val="20"/>
        </w:rPr>
      </w:pPr>
      <w:r w:rsidRPr="00416A8E">
        <w:rPr>
          <w:b/>
          <w:color w:val="4F81BD" w:themeColor="accent1"/>
          <w:sz w:val="20"/>
          <w:szCs w:val="20"/>
        </w:rPr>
        <w:t>The following organisations have partnered to achieve the project objectives:</w:t>
      </w:r>
    </w:p>
    <w:p w:rsidR="00000000" w:rsidRPr="00072F15" w:rsidRDefault="00416A8E">
      <w:pPr>
        <w:pStyle w:val="Paragraphedeliste"/>
        <w:numPr>
          <w:ilvl w:val="0"/>
          <w:numId w:val="7"/>
        </w:numPr>
        <w:tabs>
          <w:tab w:val="clear" w:pos="567"/>
        </w:tabs>
        <w:spacing w:line="360" w:lineRule="auto"/>
        <w:rPr>
          <w:sz w:val="20"/>
          <w:szCs w:val="20"/>
          <w:lang w:val="en-US"/>
        </w:rPr>
      </w:pPr>
      <w:r w:rsidRPr="00416A8E">
        <w:rPr>
          <w:b/>
          <w:sz w:val="20"/>
          <w:szCs w:val="20"/>
        </w:rPr>
        <w:t>Research &amp; Technology Centres</w:t>
      </w:r>
      <w:r w:rsidRPr="00416A8E">
        <w:rPr>
          <w:sz w:val="20"/>
          <w:szCs w:val="20"/>
        </w:rPr>
        <w:t xml:space="preserve">: Vicomtech-IK4 (ES), </w:t>
      </w:r>
      <w:proofErr w:type="spellStart"/>
      <w:r w:rsidRPr="00416A8E">
        <w:rPr>
          <w:sz w:val="20"/>
          <w:szCs w:val="20"/>
        </w:rPr>
        <w:t>Fraunhofer</w:t>
      </w:r>
      <w:proofErr w:type="spellEnd"/>
      <w:r w:rsidRPr="00416A8E">
        <w:rPr>
          <w:sz w:val="20"/>
          <w:szCs w:val="20"/>
        </w:rPr>
        <w:t xml:space="preserve"> </w:t>
      </w:r>
      <w:proofErr w:type="spellStart"/>
      <w:r w:rsidRPr="00416A8E">
        <w:rPr>
          <w:sz w:val="20"/>
          <w:szCs w:val="20"/>
        </w:rPr>
        <w:t>Gesellschaft</w:t>
      </w:r>
      <w:proofErr w:type="spellEnd"/>
      <w:r w:rsidRPr="00416A8E">
        <w:rPr>
          <w:sz w:val="20"/>
          <w:szCs w:val="20"/>
        </w:rPr>
        <w:t xml:space="preserve"> </w:t>
      </w:r>
      <w:proofErr w:type="spellStart"/>
      <w:r w:rsidRPr="00416A8E">
        <w:rPr>
          <w:sz w:val="20"/>
          <w:szCs w:val="20"/>
        </w:rPr>
        <w:t>zur</w:t>
      </w:r>
      <w:proofErr w:type="spellEnd"/>
      <w:r w:rsidRPr="00416A8E">
        <w:rPr>
          <w:sz w:val="20"/>
          <w:szCs w:val="20"/>
        </w:rPr>
        <w:t xml:space="preserve"> </w:t>
      </w:r>
      <w:proofErr w:type="spellStart"/>
      <w:r w:rsidRPr="00416A8E">
        <w:rPr>
          <w:sz w:val="20"/>
          <w:szCs w:val="20"/>
        </w:rPr>
        <w:t>Foerderung</w:t>
      </w:r>
      <w:proofErr w:type="spellEnd"/>
      <w:r w:rsidRPr="00416A8E">
        <w:rPr>
          <w:sz w:val="20"/>
          <w:szCs w:val="20"/>
        </w:rPr>
        <w:t xml:space="preserve"> </w:t>
      </w:r>
      <w:proofErr w:type="spellStart"/>
      <w:r w:rsidRPr="00416A8E">
        <w:rPr>
          <w:sz w:val="20"/>
          <w:szCs w:val="20"/>
        </w:rPr>
        <w:t>der</w:t>
      </w:r>
      <w:proofErr w:type="spellEnd"/>
      <w:r w:rsidRPr="00416A8E">
        <w:rPr>
          <w:sz w:val="20"/>
          <w:szCs w:val="20"/>
        </w:rPr>
        <w:t xml:space="preserve"> </w:t>
      </w:r>
      <w:proofErr w:type="spellStart"/>
      <w:r w:rsidRPr="00416A8E">
        <w:rPr>
          <w:sz w:val="20"/>
          <w:szCs w:val="20"/>
        </w:rPr>
        <w:t>Angewandt</w:t>
      </w:r>
      <w:proofErr w:type="spellEnd"/>
      <w:r w:rsidRPr="00416A8E">
        <w:rPr>
          <w:sz w:val="20"/>
          <w:szCs w:val="20"/>
        </w:rPr>
        <w:t xml:space="preserve"> – IGD (DE), Italian National Research Council (IT)</w:t>
      </w:r>
    </w:p>
    <w:p w:rsidR="00000000" w:rsidRDefault="00416A8E">
      <w:pPr>
        <w:pStyle w:val="Paragraphedeliste"/>
        <w:numPr>
          <w:ilvl w:val="0"/>
          <w:numId w:val="7"/>
        </w:numPr>
        <w:tabs>
          <w:tab w:val="clear" w:pos="567"/>
        </w:tabs>
        <w:spacing w:line="360" w:lineRule="auto"/>
        <w:rPr>
          <w:sz w:val="20"/>
          <w:szCs w:val="20"/>
          <w:lang w:val="fr-FR"/>
        </w:rPr>
      </w:pPr>
      <w:proofErr w:type="spellStart"/>
      <w:r w:rsidRPr="00416A8E">
        <w:rPr>
          <w:b/>
          <w:sz w:val="20"/>
          <w:szCs w:val="20"/>
          <w:lang w:val="fr-FR"/>
        </w:rPr>
        <w:t>Universities</w:t>
      </w:r>
      <w:proofErr w:type="spellEnd"/>
      <w:r w:rsidRPr="00416A8E">
        <w:rPr>
          <w:sz w:val="20"/>
          <w:szCs w:val="20"/>
          <w:lang w:val="fr-FR"/>
        </w:rPr>
        <w:t xml:space="preserve">: </w:t>
      </w:r>
      <w:proofErr w:type="spellStart"/>
      <w:r w:rsidRPr="00416A8E">
        <w:rPr>
          <w:sz w:val="20"/>
          <w:szCs w:val="20"/>
          <w:lang w:val="fr-FR"/>
        </w:rPr>
        <w:t>Technion</w:t>
      </w:r>
      <w:proofErr w:type="spellEnd"/>
      <w:r w:rsidRPr="00416A8E">
        <w:rPr>
          <w:sz w:val="20"/>
          <w:szCs w:val="20"/>
          <w:lang w:val="fr-FR"/>
        </w:rPr>
        <w:t xml:space="preserve"> - </w:t>
      </w:r>
      <w:proofErr w:type="spellStart"/>
      <w:r w:rsidRPr="00416A8E">
        <w:rPr>
          <w:sz w:val="20"/>
          <w:szCs w:val="20"/>
          <w:lang w:val="fr-FR"/>
        </w:rPr>
        <w:t>Israeli</w:t>
      </w:r>
      <w:proofErr w:type="spellEnd"/>
      <w:r w:rsidRPr="00416A8E">
        <w:rPr>
          <w:sz w:val="20"/>
          <w:szCs w:val="20"/>
          <w:lang w:val="fr-FR"/>
        </w:rPr>
        <w:t xml:space="preserve"> Institute of </w:t>
      </w:r>
      <w:proofErr w:type="spellStart"/>
      <w:r w:rsidRPr="00416A8E">
        <w:rPr>
          <w:sz w:val="20"/>
          <w:szCs w:val="20"/>
          <w:lang w:val="fr-FR"/>
        </w:rPr>
        <w:t>technology</w:t>
      </w:r>
      <w:proofErr w:type="spellEnd"/>
      <w:r w:rsidRPr="00416A8E">
        <w:rPr>
          <w:sz w:val="20"/>
          <w:szCs w:val="20"/>
          <w:lang w:val="fr-FR"/>
        </w:rPr>
        <w:t xml:space="preserve"> (IL), </w:t>
      </w:r>
      <w:proofErr w:type="spellStart"/>
      <w:r w:rsidRPr="00416A8E">
        <w:rPr>
          <w:sz w:val="20"/>
          <w:szCs w:val="20"/>
          <w:lang w:val="fr-FR"/>
        </w:rPr>
        <w:t>Universitat</w:t>
      </w:r>
      <w:proofErr w:type="spellEnd"/>
      <w:r w:rsidRPr="00416A8E">
        <w:rPr>
          <w:sz w:val="20"/>
          <w:szCs w:val="20"/>
          <w:lang w:val="fr-FR"/>
        </w:rPr>
        <w:t xml:space="preserve"> </w:t>
      </w:r>
      <w:proofErr w:type="spellStart"/>
      <w:r w:rsidRPr="00416A8E">
        <w:rPr>
          <w:sz w:val="20"/>
          <w:szCs w:val="20"/>
          <w:lang w:val="fr-FR"/>
        </w:rPr>
        <w:t>Autonoma</w:t>
      </w:r>
      <w:proofErr w:type="spellEnd"/>
      <w:r w:rsidRPr="00416A8E">
        <w:rPr>
          <w:sz w:val="20"/>
          <w:szCs w:val="20"/>
          <w:lang w:val="fr-FR"/>
        </w:rPr>
        <w:t xml:space="preserve"> de Barcelona (ES)</w:t>
      </w:r>
    </w:p>
    <w:p w:rsidR="00000000" w:rsidRDefault="00416A8E">
      <w:pPr>
        <w:pStyle w:val="Paragraphedeliste"/>
        <w:numPr>
          <w:ilvl w:val="0"/>
          <w:numId w:val="7"/>
        </w:numPr>
        <w:tabs>
          <w:tab w:val="clear" w:pos="567"/>
        </w:tabs>
        <w:spacing w:line="360" w:lineRule="auto"/>
        <w:rPr>
          <w:sz w:val="20"/>
          <w:szCs w:val="20"/>
          <w:lang w:val="en-US"/>
        </w:rPr>
      </w:pPr>
      <w:r w:rsidRPr="00416A8E">
        <w:rPr>
          <w:b/>
          <w:sz w:val="20"/>
          <w:szCs w:val="20"/>
          <w:lang w:val="en-US"/>
        </w:rPr>
        <w:t>Companies and SMEs:</w:t>
      </w:r>
      <w:r w:rsidRPr="00416A8E">
        <w:rPr>
          <w:sz w:val="20"/>
          <w:szCs w:val="20"/>
          <w:lang w:val="en-US"/>
        </w:rPr>
        <w:t xml:space="preserve"> S21sec (ES), SYNTHEMA (IT), Voice Interaction (PT), ALTIC (FR), IKUSI (ES), Baker &amp; Mc </w:t>
      </w:r>
      <w:proofErr w:type="spellStart"/>
      <w:r w:rsidRPr="00416A8E">
        <w:rPr>
          <w:sz w:val="20"/>
          <w:szCs w:val="20"/>
          <w:lang w:val="en-US"/>
        </w:rPr>
        <w:t>Kenzie</w:t>
      </w:r>
      <w:proofErr w:type="spellEnd"/>
      <w:r w:rsidRPr="00416A8E">
        <w:rPr>
          <w:sz w:val="20"/>
          <w:szCs w:val="20"/>
          <w:lang w:val="en-US"/>
        </w:rPr>
        <w:t xml:space="preserve"> (IT), ALMA Consulting Group (FR) </w:t>
      </w:r>
    </w:p>
    <w:p w:rsidR="00000000" w:rsidRDefault="00416A8E">
      <w:pPr>
        <w:pStyle w:val="Paragraphedeliste"/>
        <w:numPr>
          <w:ilvl w:val="0"/>
          <w:numId w:val="7"/>
        </w:numPr>
        <w:tabs>
          <w:tab w:val="clear" w:pos="567"/>
        </w:tabs>
        <w:spacing w:line="360" w:lineRule="auto"/>
        <w:jc w:val="left"/>
        <w:rPr>
          <w:sz w:val="20"/>
          <w:szCs w:val="20"/>
          <w:lang w:val="en-US"/>
        </w:rPr>
      </w:pPr>
      <w:r w:rsidRPr="00416A8E">
        <w:rPr>
          <w:b/>
          <w:sz w:val="20"/>
          <w:szCs w:val="20"/>
          <w:lang w:val="en-US"/>
        </w:rPr>
        <w:t>Law Enforcement Agencies:</w:t>
      </w:r>
      <w:r w:rsidRPr="00416A8E">
        <w:rPr>
          <w:sz w:val="20"/>
          <w:szCs w:val="20"/>
          <w:lang w:val="en-US"/>
        </w:rPr>
        <w:t xml:space="preserve"> Postal and Communications Police (IT), </w:t>
      </w:r>
      <w:proofErr w:type="spellStart"/>
      <w:r w:rsidRPr="00416A8E">
        <w:rPr>
          <w:sz w:val="20"/>
          <w:szCs w:val="20"/>
          <w:lang w:val="en-US"/>
        </w:rPr>
        <w:t>Policia</w:t>
      </w:r>
      <w:proofErr w:type="spellEnd"/>
      <w:r w:rsidRPr="00416A8E">
        <w:rPr>
          <w:sz w:val="20"/>
          <w:szCs w:val="20"/>
          <w:lang w:val="en-US"/>
        </w:rPr>
        <w:t xml:space="preserve"> </w:t>
      </w:r>
      <w:proofErr w:type="spellStart"/>
      <w:r w:rsidRPr="00416A8E">
        <w:rPr>
          <w:sz w:val="20"/>
          <w:szCs w:val="20"/>
          <w:lang w:val="en-US"/>
        </w:rPr>
        <w:t>Judiciaria</w:t>
      </w:r>
      <w:proofErr w:type="spellEnd"/>
      <w:r w:rsidRPr="00416A8E">
        <w:rPr>
          <w:sz w:val="20"/>
          <w:szCs w:val="20"/>
          <w:lang w:val="en-US"/>
        </w:rPr>
        <w:t xml:space="preserve"> (PT), Guardia Civil (ES), Israel National Police (IL)</w:t>
      </w:r>
    </w:p>
    <w:p w:rsidR="00000000" w:rsidRDefault="00B66117">
      <w:pPr>
        <w:tabs>
          <w:tab w:val="clear" w:pos="567"/>
        </w:tabs>
        <w:spacing w:line="360" w:lineRule="auto"/>
        <w:rPr>
          <w:sz w:val="20"/>
          <w:szCs w:val="20"/>
          <w:lang w:val="en-US"/>
        </w:rPr>
      </w:pPr>
    </w:p>
    <w:p w:rsidR="00000000" w:rsidRDefault="00B66117">
      <w:pPr>
        <w:tabs>
          <w:tab w:val="clear" w:pos="567"/>
        </w:tabs>
        <w:spacing w:line="360" w:lineRule="auto"/>
        <w:jc w:val="center"/>
        <w:rPr>
          <w:b/>
          <w:sz w:val="20"/>
          <w:szCs w:val="20"/>
          <w:lang w:val="en-US"/>
        </w:rPr>
      </w:pPr>
      <w:r>
        <w:rPr>
          <w:noProof/>
          <w:lang w:val="fr-FR"/>
        </w:rPr>
        <w:drawing>
          <wp:inline distT="0" distB="0" distL="0" distR="0">
            <wp:extent cx="3629025" cy="3967079"/>
            <wp:effectExtent l="19050" t="0" r="9525" b="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7686" t="17060" r="17433" b="72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39670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B66117">
      <w:pPr>
        <w:pBdr>
          <w:bottom w:val="single" w:sz="4" w:space="1" w:color="auto"/>
        </w:pBdr>
        <w:spacing w:line="360" w:lineRule="auto"/>
        <w:jc w:val="center"/>
        <w:rPr>
          <w:b/>
          <w:sz w:val="20"/>
          <w:szCs w:val="20"/>
          <w:lang w:val="en-US"/>
        </w:rPr>
      </w:pPr>
    </w:p>
    <w:p w:rsidR="00000000" w:rsidRDefault="00416A8E">
      <w:pPr>
        <w:spacing w:line="360" w:lineRule="auto"/>
        <w:jc w:val="right"/>
      </w:pPr>
      <w:hyperlink r:id="rId11" w:history="1">
        <w:r w:rsidRPr="00416A8E">
          <w:rPr>
            <w:rStyle w:val="Lienhypertexte"/>
            <w:sz w:val="20"/>
            <w:szCs w:val="20"/>
            <w:lang w:val="en-US"/>
          </w:rPr>
          <w:t>http://w</w:t>
        </w:r>
        <w:r w:rsidR="006035A8" w:rsidRPr="00F60DF5">
          <w:rPr>
            <w:rStyle w:val="Lienhypertexte"/>
          </w:rPr>
          <w:t>ww.fp7-caper.eu/</w:t>
        </w:r>
      </w:hyperlink>
    </w:p>
    <w:p w:rsidR="00000000" w:rsidRDefault="00B66117">
      <w:pPr>
        <w:spacing w:line="360" w:lineRule="auto"/>
        <w:jc w:val="left"/>
      </w:pPr>
    </w:p>
    <w:p w:rsidR="00A51085" w:rsidRPr="00A01872" w:rsidRDefault="00A51085" w:rsidP="00A51085">
      <w:pPr>
        <w:spacing w:line="360" w:lineRule="auto"/>
        <w:jc w:val="left"/>
        <w:rPr>
          <w:sz w:val="20"/>
          <w:szCs w:val="20"/>
        </w:rPr>
      </w:pPr>
    </w:p>
    <w:sectPr w:rsidR="00A51085" w:rsidRPr="00A01872" w:rsidSect="00825145">
      <w:headerReference w:type="default" r:id="rId12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6117" w:rsidRDefault="00B66117">
      <w:r>
        <w:separator/>
      </w:r>
    </w:p>
  </w:endnote>
  <w:endnote w:type="continuationSeparator" w:id="0">
    <w:p w:rsidR="00B66117" w:rsidRDefault="00B661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6117" w:rsidRDefault="00B66117">
      <w:r>
        <w:separator/>
      </w:r>
    </w:p>
  </w:footnote>
  <w:footnote w:type="continuationSeparator" w:id="0">
    <w:p w:rsidR="00B66117" w:rsidRDefault="00B661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DA0" w:rsidRPr="00A0395D" w:rsidRDefault="007B2DA0">
    <w:pPr>
      <w:pStyle w:val="En-tte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46450"/>
    <w:multiLevelType w:val="hybridMultilevel"/>
    <w:tmpl w:val="53F41E4A"/>
    <w:lvl w:ilvl="0" w:tplc="03D0B3B2">
      <w:start w:val="1"/>
      <w:numFmt w:val="bullet"/>
      <w:lvlText w:val="–"/>
      <w:lvlJc w:val="left"/>
      <w:pPr>
        <w:tabs>
          <w:tab w:val="num" w:pos="777"/>
        </w:tabs>
        <w:ind w:left="777" w:hanging="360"/>
      </w:pPr>
      <w:rPr>
        <w:rFonts w:ascii="Arial" w:hAnsi="Arial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5B00B08"/>
    <w:multiLevelType w:val="hybridMultilevel"/>
    <w:tmpl w:val="C646F83A"/>
    <w:lvl w:ilvl="0" w:tplc="03D0B3B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EB1C64"/>
    <w:multiLevelType w:val="hybridMultilevel"/>
    <w:tmpl w:val="D7BA7A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A50549"/>
    <w:multiLevelType w:val="hybridMultilevel"/>
    <w:tmpl w:val="D3F87112"/>
    <w:lvl w:ilvl="0" w:tplc="2FC049C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FC049C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7A083D"/>
    <w:multiLevelType w:val="hybridMultilevel"/>
    <w:tmpl w:val="403CBF28"/>
    <w:lvl w:ilvl="0" w:tplc="8C4A788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FC049C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8FB7F22"/>
    <w:multiLevelType w:val="multilevel"/>
    <w:tmpl w:val="AF362048"/>
    <w:lvl w:ilvl="0">
      <w:start w:val="1"/>
      <w:numFmt w:val="bullet"/>
      <w:lvlText w:val=""/>
      <w:lvlJc w:val="left"/>
      <w:pPr>
        <w:tabs>
          <w:tab w:val="num" w:pos="417"/>
        </w:tabs>
        <w:ind w:left="41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FCC1561"/>
    <w:multiLevelType w:val="hybridMultilevel"/>
    <w:tmpl w:val="AF362048"/>
    <w:lvl w:ilvl="0" w:tplc="CAFEE5CA">
      <w:start w:val="1"/>
      <w:numFmt w:val="bullet"/>
      <w:lvlText w:val=""/>
      <w:lvlJc w:val="left"/>
      <w:pPr>
        <w:tabs>
          <w:tab w:val="num" w:pos="417"/>
        </w:tabs>
        <w:ind w:left="417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trackRevisions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1F2549"/>
    <w:rsid w:val="00017224"/>
    <w:rsid w:val="0002715F"/>
    <w:rsid w:val="00060CFC"/>
    <w:rsid w:val="00064BA5"/>
    <w:rsid w:val="00072F15"/>
    <w:rsid w:val="0007765D"/>
    <w:rsid w:val="00080C54"/>
    <w:rsid w:val="00097BBC"/>
    <w:rsid w:val="000B513D"/>
    <w:rsid w:val="000B61A2"/>
    <w:rsid w:val="000D1622"/>
    <w:rsid w:val="000E1A0D"/>
    <w:rsid w:val="000E2AF4"/>
    <w:rsid w:val="000E4E45"/>
    <w:rsid w:val="000E7DBE"/>
    <w:rsid w:val="000F14DA"/>
    <w:rsid w:val="000F312D"/>
    <w:rsid w:val="0011403F"/>
    <w:rsid w:val="00124D9E"/>
    <w:rsid w:val="00130ED7"/>
    <w:rsid w:val="0013757E"/>
    <w:rsid w:val="00145063"/>
    <w:rsid w:val="001477D2"/>
    <w:rsid w:val="00183666"/>
    <w:rsid w:val="00195841"/>
    <w:rsid w:val="001B120F"/>
    <w:rsid w:val="001C1C1E"/>
    <w:rsid w:val="001C1C91"/>
    <w:rsid w:val="001E2596"/>
    <w:rsid w:val="001E6A36"/>
    <w:rsid w:val="001F2549"/>
    <w:rsid w:val="001F4A37"/>
    <w:rsid w:val="0022354F"/>
    <w:rsid w:val="002376BA"/>
    <w:rsid w:val="00255A81"/>
    <w:rsid w:val="00256781"/>
    <w:rsid w:val="0027695B"/>
    <w:rsid w:val="002914D8"/>
    <w:rsid w:val="0029226D"/>
    <w:rsid w:val="002A2AD8"/>
    <w:rsid w:val="002B26D5"/>
    <w:rsid w:val="002C0119"/>
    <w:rsid w:val="002C7DD3"/>
    <w:rsid w:val="002D7EDC"/>
    <w:rsid w:val="002E7BAE"/>
    <w:rsid w:val="0030550F"/>
    <w:rsid w:val="00327CFF"/>
    <w:rsid w:val="0036011A"/>
    <w:rsid w:val="003649F1"/>
    <w:rsid w:val="00365E44"/>
    <w:rsid w:val="00371309"/>
    <w:rsid w:val="00372B03"/>
    <w:rsid w:val="003879AF"/>
    <w:rsid w:val="003A0398"/>
    <w:rsid w:val="003A51F2"/>
    <w:rsid w:val="003B4FF1"/>
    <w:rsid w:val="003D2490"/>
    <w:rsid w:val="003D77EA"/>
    <w:rsid w:val="003F17F5"/>
    <w:rsid w:val="00402CC6"/>
    <w:rsid w:val="00407804"/>
    <w:rsid w:val="00416A8E"/>
    <w:rsid w:val="00420239"/>
    <w:rsid w:val="00432E85"/>
    <w:rsid w:val="00444D6A"/>
    <w:rsid w:val="00463B3C"/>
    <w:rsid w:val="004656BF"/>
    <w:rsid w:val="00465EC2"/>
    <w:rsid w:val="0047010D"/>
    <w:rsid w:val="00485F72"/>
    <w:rsid w:val="00490730"/>
    <w:rsid w:val="004967CB"/>
    <w:rsid w:val="004A01DF"/>
    <w:rsid w:val="004A32F4"/>
    <w:rsid w:val="004C0565"/>
    <w:rsid w:val="004C0842"/>
    <w:rsid w:val="004E23E0"/>
    <w:rsid w:val="004E4419"/>
    <w:rsid w:val="004E575C"/>
    <w:rsid w:val="004E672B"/>
    <w:rsid w:val="004E6B43"/>
    <w:rsid w:val="004E7E2F"/>
    <w:rsid w:val="004F1C03"/>
    <w:rsid w:val="00507C98"/>
    <w:rsid w:val="0051419F"/>
    <w:rsid w:val="005164A4"/>
    <w:rsid w:val="00541270"/>
    <w:rsid w:val="00543A7B"/>
    <w:rsid w:val="0056590C"/>
    <w:rsid w:val="0057003C"/>
    <w:rsid w:val="005B1DE0"/>
    <w:rsid w:val="005B6D77"/>
    <w:rsid w:val="005C4354"/>
    <w:rsid w:val="005C4EE5"/>
    <w:rsid w:val="005C5FD9"/>
    <w:rsid w:val="005D49F5"/>
    <w:rsid w:val="005F1442"/>
    <w:rsid w:val="006035A8"/>
    <w:rsid w:val="00666CE9"/>
    <w:rsid w:val="00667B84"/>
    <w:rsid w:val="006A3FDF"/>
    <w:rsid w:val="006B0851"/>
    <w:rsid w:val="006C2610"/>
    <w:rsid w:val="006C442C"/>
    <w:rsid w:val="006E358D"/>
    <w:rsid w:val="006F3B1E"/>
    <w:rsid w:val="007019D6"/>
    <w:rsid w:val="00701EE6"/>
    <w:rsid w:val="00703F4D"/>
    <w:rsid w:val="00705AA0"/>
    <w:rsid w:val="00710CD1"/>
    <w:rsid w:val="00713A07"/>
    <w:rsid w:val="00720238"/>
    <w:rsid w:val="007249BD"/>
    <w:rsid w:val="00740839"/>
    <w:rsid w:val="00742D69"/>
    <w:rsid w:val="00743D36"/>
    <w:rsid w:val="00754C16"/>
    <w:rsid w:val="00762FEE"/>
    <w:rsid w:val="007872D0"/>
    <w:rsid w:val="007A412D"/>
    <w:rsid w:val="007B11E3"/>
    <w:rsid w:val="007B2DA0"/>
    <w:rsid w:val="007B3180"/>
    <w:rsid w:val="007B57E1"/>
    <w:rsid w:val="007C1208"/>
    <w:rsid w:val="008144C3"/>
    <w:rsid w:val="00820021"/>
    <w:rsid w:val="00825145"/>
    <w:rsid w:val="00834A38"/>
    <w:rsid w:val="00873807"/>
    <w:rsid w:val="008827D7"/>
    <w:rsid w:val="0089745D"/>
    <w:rsid w:val="008A1D7D"/>
    <w:rsid w:val="008C49A4"/>
    <w:rsid w:val="008C6A09"/>
    <w:rsid w:val="008D6E2A"/>
    <w:rsid w:val="008E49D6"/>
    <w:rsid w:val="008E7A61"/>
    <w:rsid w:val="008F19F7"/>
    <w:rsid w:val="008F3C50"/>
    <w:rsid w:val="009013D9"/>
    <w:rsid w:val="00906078"/>
    <w:rsid w:val="00933942"/>
    <w:rsid w:val="009422B1"/>
    <w:rsid w:val="009548C8"/>
    <w:rsid w:val="009705DE"/>
    <w:rsid w:val="00985089"/>
    <w:rsid w:val="009A2922"/>
    <w:rsid w:val="009B0A88"/>
    <w:rsid w:val="009C04E0"/>
    <w:rsid w:val="009C0889"/>
    <w:rsid w:val="009F1DDE"/>
    <w:rsid w:val="00A0048D"/>
    <w:rsid w:val="00A01872"/>
    <w:rsid w:val="00A0395D"/>
    <w:rsid w:val="00A16F04"/>
    <w:rsid w:val="00A36361"/>
    <w:rsid w:val="00A437FA"/>
    <w:rsid w:val="00A51085"/>
    <w:rsid w:val="00A846E1"/>
    <w:rsid w:val="00AA5567"/>
    <w:rsid w:val="00AB3662"/>
    <w:rsid w:val="00AB37E2"/>
    <w:rsid w:val="00AB39C5"/>
    <w:rsid w:val="00AB44B2"/>
    <w:rsid w:val="00AE1623"/>
    <w:rsid w:val="00AE1809"/>
    <w:rsid w:val="00B04F09"/>
    <w:rsid w:val="00B170DC"/>
    <w:rsid w:val="00B2363A"/>
    <w:rsid w:val="00B25582"/>
    <w:rsid w:val="00B506D5"/>
    <w:rsid w:val="00B66117"/>
    <w:rsid w:val="00B90B5C"/>
    <w:rsid w:val="00B95EC9"/>
    <w:rsid w:val="00B96378"/>
    <w:rsid w:val="00BA2043"/>
    <w:rsid w:val="00BA565B"/>
    <w:rsid w:val="00BB5E36"/>
    <w:rsid w:val="00BC4506"/>
    <w:rsid w:val="00BE47B8"/>
    <w:rsid w:val="00BE7723"/>
    <w:rsid w:val="00BF3FF3"/>
    <w:rsid w:val="00C009A4"/>
    <w:rsid w:val="00C01656"/>
    <w:rsid w:val="00C05E1B"/>
    <w:rsid w:val="00C46FCC"/>
    <w:rsid w:val="00C536C4"/>
    <w:rsid w:val="00C70794"/>
    <w:rsid w:val="00C72E34"/>
    <w:rsid w:val="00C74FF9"/>
    <w:rsid w:val="00C75215"/>
    <w:rsid w:val="00C755AC"/>
    <w:rsid w:val="00C8016D"/>
    <w:rsid w:val="00C949E0"/>
    <w:rsid w:val="00CA09B7"/>
    <w:rsid w:val="00CA797E"/>
    <w:rsid w:val="00CB7C07"/>
    <w:rsid w:val="00CD678D"/>
    <w:rsid w:val="00CD724C"/>
    <w:rsid w:val="00D05E9F"/>
    <w:rsid w:val="00D1016E"/>
    <w:rsid w:val="00D36E2D"/>
    <w:rsid w:val="00D44EC4"/>
    <w:rsid w:val="00D5597C"/>
    <w:rsid w:val="00D80595"/>
    <w:rsid w:val="00DA116F"/>
    <w:rsid w:val="00DB18A3"/>
    <w:rsid w:val="00DB6273"/>
    <w:rsid w:val="00DB7EFF"/>
    <w:rsid w:val="00DE3255"/>
    <w:rsid w:val="00DE35C5"/>
    <w:rsid w:val="00DF47E3"/>
    <w:rsid w:val="00E00D49"/>
    <w:rsid w:val="00E12496"/>
    <w:rsid w:val="00E1460A"/>
    <w:rsid w:val="00E273F7"/>
    <w:rsid w:val="00E52EDB"/>
    <w:rsid w:val="00E7043C"/>
    <w:rsid w:val="00E83535"/>
    <w:rsid w:val="00E8455D"/>
    <w:rsid w:val="00E96D2A"/>
    <w:rsid w:val="00EA204D"/>
    <w:rsid w:val="00EC1B25"/>
    <w:rsid w:val="00ED032C"/>
    <w:rsid w:val="00ED4417"/>
    <w:rsid w:val="00EE24BA"/>
    <w:rsid w:val="00F05C9B"/>
    <w:rsid w:val="00F206C1"/>
    <w:rsid w:val="00F30032"/>
    <w:rsid w:val="00F510E8"/>
    <w:rsid w:val="00F84276"/>
    <w:rsid w:val="00F94FF6"/>
    <w:rsid w:val="00FA594E"/>
    <w:rsid w:val="00FD5463"/>
    <w:rsid w:val="00FE7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F2549"/>
    <w:pPr>
      <w:tabs>
        <w:tab w:val="left" w:pos="567"/>
      </w:tabs>
      <w:jc w:val="both"/>
    </w:pPr>
    <w:rPr>
      <w:rFonts w:ascii="Arial" w:hAnsi="Arial"/>
      <w:sz w:val="22"/>
      <w:szCs w:val="24"/>
      <w:lang w:val="en-GB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rsid w:val="001F2549"/>
    <w:pPr>
      <w:tabs>
        <w:tab w:val="clear" w:pos="567"/>
      </w:tabs>
    </w:pPr>
    <w:rPr>
      <w:rFonts w:cs="Arial"/>
      <w:sz w:val="24"/>
    </w:rPr>
  </w:style>
  <w:style w:type="paragraph" w:styleId="En-tte">
    <w:name w:val="header"/>
    <w:basedOn w:val="Normal"/>
    <w:rsid w:val="00A0395D"/>
    <w:pPr>
      <w:tabs>
        <w:tab w:val="clear" w:pos="567"/>
        <w:tab w:val="center" w:pos="4536"/>
        <w:tab w:val="right" w:pos="9072"/>
      </w:tabs>
    </w:pPr>
  </w:style>
  <w:style w:type="paragraph" w:styleId="Pieddepage">
    <w:name w:val="footer"/>
    <w:basedOn w:val="Normal"/>
    <w:rsid w:val="00A0395D"/>
    <w:pPr>
      <w:tabs>
        <w:tab w:val="clear" w:pos="567"/>
        <w:tab w:val="center" w:pos="4536"/>
        <w:tab w:val="right" w:pos="9072"/>
      </w:tabs>
    </w:pPr>
  </w:style>
  <w:style w:type="character" w:styleId="Lienhypertexte">
    <w:name w:val="Hyperlink"/>
    <w:rsid w:val="00145063"/>
    <w:rPr>
      <w:color w:val="000080"/>
      <w:u w:val="single"/>
    </w:rPr>
  </w:style>
  <w:style w:type="table" w:styleId="Grilledutableau">
    <w:name w:val="Table Grid"/>
    <w:basedOn w:val="TableauNormal"/>
    <w:rsid w:val="007B11E3"/>
    <w:pPr>
      <w:tabs>
        <w:tab w:val="left" w:pos="567"/>
      </w:tabs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rsid w:val="002C011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2C0119"/>
    <w:rPr>
      <w:rFonts w:ascii="Tahoma" w:hAnsi="Tahoma" w:cs="Tahoma"/>
      <w:sz w:val="16"/>
      <w:szCs w:val="16"/>
      <w:lang w:val="en-GB" w:eastAsia="fr-FR"/>
    </w:rPr>
  </w:style>
  <w:style w:type="character" w:styleId="Marquedecommentaire">
    <w:name w:val="annotation reference"/>
    <w:basedOn w:val="Policepardfaut"/>
    <w:rsid w:val="002C0119"/>
    <w:rPr>
      <w:sz w:val="16"/>
      <w:szCs w:val="16"/>
    </w:rPr>
  </w:style>
  <w:style w:type="paragraph" w:styleId="Commentaire">
    <w:name w:val="annotation text"/>
    <w:basedOn w:val="Normal"/>
    <w:link w:val="CommentaireCar"/>
    <w:rsid w:val="002C011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2C0119"/>
    <w:rPr>
      <w:rFonts w:ascii="Arial" w:hAnsi="Arial"/>
      <w:lang w:val="en-GB" w:eastAsia="fr-FR"/>
    </w:rPr>
  </w:style>
  <w:style w:type="paragraph" w:styleId="Objetducommentaire">
    <w:name w:val="annotation subject"/>
    <w:basedOn w:val="Commentaire"/>
    <w:next w:val="Commentaire"/>
    <w:link w:val="ObjetducommentaireCar"/>
    <w:rsid w:val="002C011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2C0119"/>
    <w:rPr>
      <w:b/>
      <w:bCs/>
    </w:rPr>
  </w:style>
  <w:style w:type="paragraph" w:styleId="Paragraphedeliste">
    <w:name w:val="List Paragraph"/>
    <w:basedOn w:val="Normal"/>
    <w:uiPriority w:val="34"/>
    <w:qFormat/>
    <w:rsid w:val="009060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p7-caper.eu/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2350A-B2F1-4864-87F1-DEF7D9D24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377</Words>
  <Characters>2075</Characters>
  <Application>Microsoft Office Word</Application>
  <DocSecurity>0</DocSecurity>
  <Lines>17</Lines>
  <Paragraphs>4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Photovoltaics (PV) offer a promising solution for CO2 emission reductions and climate change combat</vt:lpstr>
      <vt:lpstr>Photovoltaics (PV) offer a promising solution for CO2 emission reductions and climate change combat</vt:lpstr>
      <vt:lpstr>Photovoltaics (PV) offer a promising solution for CO2 emission reductions and climate change combat</vt:lpstr>
    </vt:vector>
  </TitlesOfParts>
  <Company>Alma CG</Company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Photovoltaics (PV) offer a promising solution for CO2 emission reductions and climate change combat</dc:title>
  <dc:subject/>
  <dc:creator>Guillaume Zietek</dc:creator>
  <cp:keywords/>
  <dc:description/>
  <cp:lastModifiedBy>apoget</cp:lastModifiedBy>
  <cp:revision>5</cp:revision>
  <cp:lastPrinted>2009-05-14T15:32:00Z</cp:lastPrinted>
  <dcterms:created xsi:type="dcterms:W3CDTF">2012-07-23T15:00:00Z</dcterms:created>
  <dcterms:modified xsi:type="dcterms:W3CDTF">2012-07-23T15:11:00Z</dcterms:modified>
</cp:coreProperties>
</file>